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7BA7" w14:textId="631A7182" w:rsidR="00E231F8" w:rsidRPr="00E231F8" w:rsidRDefault="00E231F8" w:rsidP="00E231F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Not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as </w:t>
      </w:r>
      <w:r>
        <w:rPr>
          <w:rFonts w:ascii="Times New Roman" w:hAnsi="Times New Roman" w:cs="Times New Roman"/>
          <w:b/>
          <w:i/>
          <w:sz w:val="22"/>
          <w:szCs w:val="22"/>
          <w:lang w:val="en-US"/>
        </w:rPr>
        <w:t>might</w:t>
      </w:r>
    </w:p>
    <w:p w14:paraId="44AB4D11" w14:textId="50548F54" w:rsidR="0057764F" w:rsidRPr="00674AB0" w:rsidRDefault="0057764F" w:rsidP="0057764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Emotive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doxastics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fear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hope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), inquisitive predicates (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ask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), negated veridical responsive predicates (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know, remember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),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dubitatives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doubt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) and negative predicates (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 xml:space="preserve">prevent, refuse, 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etc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) may select for sentential complements with Expletive Negation (EN), namely a negative marker (sentential negation or C</w:t>
      </w:r>
      <w:r w:rsidRPr="00674AB0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0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) that does not reverse the polarity of the embedded proposition</w:t>
      </w:r>
      <w:r w:rsidR="00037CFF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EN has been argued to be semantically vacuous (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Espinal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2000), the same as real negation (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Abels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2005), or to have some semantic contribution different than that of real negation (e.g. evaluative mood (Yoon 2011)). In this 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talk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I identify some new 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necessary conditions for EN-licensing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and I show that EN has the </w:t>
      </w:r>
      <w:r w:rsidRPr="00674AB0">
        <w:rPr>
          <w:rFonts w:ascii="Times New Roman" w:hAnsi="Times New Roman" w:cs="Times New Roman"/>
          <w:i/>
          <w:sz w:val="22"/>
          <w:szCs w:val="22"/>
          <w:lang w:val="en-US"/>
        </w:rPr>
        <w:t>meaning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of a weak epistemic modal.</w:t>
      </w:r>
    </w:p>
    <w:p w14:paraId="0B48A3A2" w14:textId="35935605" w:rsidR="009E1F51" w:rsidRPr="00674AB0" w:rsidRDefault="0057764F" w:rsidP="0057764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4AB0">
        <w:rPr>
          <w:rFonts w:ascii="Times New Roman" w:hAnsi="Times New Roman" w:cs="Times New Roman"/>
          <w:sz w:val="22"/>
          <w:szCs w:val="22"/>
          <w:lang w:val="en-US"/>
        </w:rPr>
        <w:tab/>
        <w:t>A comparative a</w:t>
      </w:r>
      <w:r w:rsidR="00664B9F" w:rsidRPr="00674AB0">
        <w:rPr>
          <w:rFonts w:ascii="Times New Roman" w:hAnsi="Times New Roman" w:cs="Times New Roman"/>
          <w:sz w:val="22"/>
          <w:szCs w:val="22"/>
          <w:lang w:val="en-US"/>
        </w:rPr>
        <w:t>nalysis of Classical Greek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, Russian, Hebrew, Spanish and French data with EN challenges existing analyses that EN in attitude complements is licensed by (subjunctive) mood (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Abels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2005, Yoon 2012,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a.o.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>) as EN can a</w:t>
      </w:r>
      <w:r w:rsidR="00515D71" w:rsidRPr="00674AB0">
        <w:rPr>
          <w:rFonts w:ascii="Times New Roman" w:hAnsi="Times New Roman" w:cs="Times New Roman"/>
          <w:sz w:val="22"/>
          <w:szCs w:val="22"/>
          <w:lang w:val="en-US"/>
        </w:rPr>
        <w:t>ctually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be licensed in non-Subjunctive comp</w:t>
      </w:r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>lements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>On the other hand, seve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ral diagnostics</w:t>
      </w:r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show that EN is onl</w:t>
      </w:r>
      <w:r w:rsidR="00515D71" w:rsidRPr="00674AB0">
        <w:rPr>
          <w:rFonts w:ascii="Times New Roman" w:hAnsi="Times New Roman" w:cs="Times New Roman"/>
          <w:sz w:val="22"/>
          <w:szCs w:val="22"/>
          <w:lang w:val="en-US"/>
        </w:rPr>
        <w:t>y licensed in complements with free or dependent tense (for t</w:t>
      </w:r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ense specifications cf. Landau 2004, </w:t>
      </w:r>
      <w:proofErr w:type="spellStart"/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>Grano</w:t>
      </w:r>
      <w:proofErr w:type="spellEnd"/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2012, </w:t>
      </w:r>
      <w:proofErr w:type="spellStart"/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>a.o.</w:t>
      </w:r>
      <w:proofErr w:type="spellEnd"/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>).</w:t>
      </w:r>
      <w:r w:rsidR="00515D7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In other words, EN is ungrammatical in sentences with anaphoric tense.</w:t>
      </w:r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Assuming </w:t>
      </w:r>
      <w:proofErr w:type="spellStart"/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>Grano’s</w:t>
      </w:r>
      <w:proofErr w:type="spellEnd"/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(2012) </w:t>
      </w:r>
      <w:r w:rsidR="00515D7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analysis where sentences with anaphoric 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515D71" w:rsidRPr="00674AB0">
        <w:rPr>
          <w:rFonts w:ascii="Times New Roman" w:hAnsi="Times New Roman" w:cs="Times New Roman"/>
          <w:sz w:val="22"/>
          <w:szCs w:val="22"/>
          <w:lang w:val="en-US"/>
        </w:rPr>
        <w:t>ense lack a TP layer, the correlation between Tense and EN implies that EN scopes above TP and predicts that EN is</w:t>
      </w:r>
      <w:r w:rsidR="00B26734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ungrammatical in obligator</w:t>
      </w:r>
      <w:r w:rsidR="00515D7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y control/restructuring contexts. </w:t>
      </w:r>
    </w:p>
    <w:p w14:paraId="03F29BD2" w14:textId="1E815D9F" w:rsidR="00664B9F" w:rsidRPr="00674AB0" w:rsidRDefault="00405B9B" w:rsidP="00664B9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4AB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D956E1" w:rsidRPr="00674AB0">
        <w:rPr>
          <w:rFonts w:ascii="Times New Roman" w:hAnsi="Times New Roman" w:cs="Times New Roman"/>
          <w:sz w:val="22"/>
          <w:szCs w:val="22"/>
          <w:lang w:val="en-US"/>
        </w:rPr>
        <w:t>EN has long been supposed to be licensed by predicates with some negative import (</w:t>
      </w:r>
      <w:proofErr w:type="spellStart"/>
      <w:r w:rsidR="00CC5CE7">
        <w:rPr>
          <w:rFonts w:ascii="Times New Roman" w:hAnsi="Times New Roman" w:cs="Times New Roman"/>
          <w:sz w:val="22"/>
          <w:szCs w:val="22"/>
          <w:lang w:val="en-US"/>
        </w:rPr>
        <w:t>Espinal</w:t>
      </w:r>
      <w:proofErr w:type="spellEnd"/>
      <w:r w:rsidR="00CC5CE7">
        <w:rPr>
          <w:rFonts w:ascii="Times New Roman" w:hAnsi="Times New Roman" w:cs="Times New Roman"/>
          <w:sz w:val="22"/>
          <w:szCs w:val="22"/>
          <w:lang w:val="en-US"/>
        </w:rPr>
        <w:t xml:space="preserve"> 2000,</w:t>
      </w:r>
      <w:r w:rsidR="00664330">
        <w:rPr>
          <w:rFonts w:ascii="Times New Roman" w:hAnsi="Times New Roman" w:cs="Times New Roman"/>
          <w:sz w:val="22"/>
          <w:szCs w:val="22"/>
          <w:lang w:val="en-US"/>
        </w:rPr>
        <w:t xml:space="preserve"> van der Wooden 1994 a.o.</w:t>
      </w:r>
      <w:r w:rsidR="00D956E1" w:rsidRPr="00674AB0">
        <w:rPr>
          <w:rFonts w:ascii="Times New Roman" w:hAnsi="Times New Roman" w:cs="Times New Roman"/>
          <w:sz w:val="22"/>
          <w:szCs w:val="22"/>
          <w:lang w:val="en-US"/>
        </w:rPr>
        <w:t>). Yoon (2011) was the first to observe that EN can be licensed after non</w:t>
      </w:r>
      <w:r w:rsidR="00037CFF" w:rsidRPr="00674AB0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D956E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negative predicates like Korean </w:t>
      </w:r>
      <w:r w:rsidR="00D956E1" w:rsidRPr="00674AB0">
        <w:rPr>
          <w:rFonts w:ascii="Times New Roman" w:hAnsi="Times New Roman" w:cs="Times New Roman"/>
          <w:i/>
          <w:sz w:val="22"/>
          <w:szCs w:val="22"/>
          <w:lang w:val="en-US"/>
        </w:rPr>
        <w:t>hope</w:t>
      </w:r>
      <w:r w:rsidR="00D956E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and she argues that EN is licensed by non-veridical predicates. </w:t>
      </w:r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>In this study</w:t>
      </w:r>
      <w:r w:rsidR="00D956E1" w:rsidRPr="00674AB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I adopt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current analyses of emotive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doxastics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dubitatives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Anand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&amp;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Hacquard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2013), 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rogative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predicates (</w:t>
      </w:r>
      <w:proofErr w:type="spellStart"/>
      <w:r w:rsidRPr="00674AB0">
        <w:rPr>
          <w:rFonts w:ascii="Times New Roman" w:hAnsi="Times New Roman" w:cs="Times New Roman"/>
          <w:sz w:val="22"/>
          <w:szCs w:val="22"/>
          <w:lang w:val="en-US"/>
        </w:rPr>
        <w:t>Uegaki</w:t>
      </w:r>
      <w:proofErr w:type="spellEnd"/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2012), and negative predicates (White et al. 2014), </w:t>
      </w:r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>and I argue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that </w:t>
      </w:r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EN is selected only by predicates that 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select for </w:t>
      </w:r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>complements of type &lt;&lt;</w:t>
      </w:r>
      <w:proofErr w:type="spellStart"/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>s</w:t>
      </w:r>
      <w:proofErr w:type="gramStart"/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>,t</w:t>
      </w:r>
      <w:proofErr w:type="spellEnd"/>
      <w:proofErr w:type="gramEnd"/>
      <w:r w:rsidR="009E1F51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&gt;,t &gt; which 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introduce a bipartition of the doxastic alternatives of the epistemic subject (i.e. they have existential force Ǝ or </w:t>
      </w:r>
      <w:r w:rsidRPr="00674AB0">
        <w:rPr>
          <w:rFonts w:ascii="Times New Roman" w:hAnsi="Times New Roman" w:cs="Times New Roman"/>
          <w:iCs/>
          <w:color w:val="1C1C1C"/>
          <w:sz w:val="22"/>
          <w:szCs w:val="22"/>
          <w:lang w:val="en-US"/>
        </w:rPr>
        <w:t>¬</w:t>
      </w:r>
      <w:r w:rsidRPr="00674AB0">
        <w:rPr>
          <w:rFonts w:ascii="Menlo Regular" w:hAnsi="Menlo Regular" w:cs="Menlo Regular"/>
          <w:iCs/>
          <w:color w:val="1C1C1C"/>
          <w:sz w:val="22"/>
          <w:szCs w:val="22"/>
          <w:lang w:val="en-US"/>
        </w:rPr>
        <w:t>∀</w:t>
      </w:r>
      <w:r w:rsidRPr="00674AB0">
        <w:rPr>
          <w:rFonts w:ascii="Times New Roman" w:hAnsi="Times New Roman" w:cs="Times New Roman"/>
          <w:iCs/>
          <w:color w:val="1C1C1C"/>
          <w:sz w:val="22"/>
          <w:szCs w:val="22"/>
          <w:lang w:val="en-US"/>
        </w:rPr>
        <w:t>)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E65C39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715AF28D" w14:textId="614AD2E2" w:rsidR="00664B9F" w:rsidRPr="00CD207D" w:rsidRDefault="00D956E1" w:rsidP="00CD207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Finally, I present new 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asymmetries between complements with and without EN.</w:t>
      </w:r>
      <w:r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More specifically, I show that EN is in complementary distribution with 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epistemic modals,</w:t>
      </w:r>
      <w:r w:rsidR="00037CFF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that a sentence with EN is an infel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icitous answer to a question and that</w:t>
      </w:r>
      <w:r w:rsidR="00037CFF" w:rsidRPr="00674AB0">
        <w:rPr>
          <w:rFonts w:ascii="Times New Roman" w:hAnsi="Times New Roman" w:cs="Times New Roman"/>
          <w:sz w:val="22"/>
          <w:szCs w:val="22"/>
          <w:lang w:val="en-US"/>
        </w:rPr>
        <w:t xml:space="preserve"> matrix negation can target the desirability ordering 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>introduced by an emotive doxastic only in the presence of EN</w:t>
      </w:r>
      <w:r w:rsidR="00037CFF" w:rsidRPr="00674AB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74AB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D207D">
        <w:rPr>
          <w:rFonts w:ascii="Times New Roman" w:hAnsi="Times New Roman" w:cs="Times New Roman"/>
          <w:sz w:val="22"/>
          <w:szCs w:val="22"/>
          <w:lang w:val="en-US"/>
        </w:rPr>
        <w:t xml:space="preserve">I argue that </w:t>
      </w:r>
      <w:r w:rsidR="004D65B6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CD207D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4D65B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CD207D">
        <w:rPr>
          <w:rFonts w:ascii="Times New Roman" w:hAnsi="Times New Roman" w:cs="Times New Roman"/>
          <w:sz w:val="22"/>
          <w:szCs w:val="22"/>
          <w:lang w:val="en-US"/>
        </w:rPr>
        <w:t xml:space="preserve"> new puzzles can only be explained if we assume that EN has the import of a weak epistemic moda</w:t>
      </w:r>
      <w:bookmarkStart w:id="0" w:name="_GoBack"/>
      <w:bookmarkEnd w:id="0"/>
      <w:r w:rsidR="00CD207D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6B624D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CD207D">
        <w:rPr>
          <w:rFonts w:ascii="Times New Roman" w:hAnsi="Times New Roman" w:cs="Times New Roman"/>
          <w:sz w:val="22"/>
          <w:szCs w:val="22"/>
          <w:lang w:val="en-US"/>
        </w:rPr>
        <w:t xml:space="preserve"> which</w:t>
      </w:r>
      <w:r w:rsidR="00CD207D" w:rsidRPr="00CD207D">
        <w:rPr>
          <w:rFonts w:ascii="Times New Roman" w:hAnsi="Times New Roman" w:cs="Times New Roman"/>
          <w:sz w:val="22"/>
          <w:szCs w:val="22"/>
          <w:lang w:val="en-US"/>
        </w:rPr>
        <w:t xml:space="preserve"> denotes the attitude holder’s lack of evidence regarding the truth of the complement clause</w:t>
      </w:r>
      <w:r w:rsidR="00CD207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664330">
        <w:rPr>
          <w:rFonts w:ascii="Times New Roman" w:hAnsi="Times New Roman" w:cs="Times New Roman"/>
          <w:sz w:val="22"/>
          <w:szCs w:val="22"/>
        </w:rPr>
        <w:t>Corroborative</w:t>
      </w:r>
      <w:r w:rsidR="00CD207D">
        <w:rPr>
          <w:rFonts w:ascii="Times New Roman" w:hAnsi="Times New Roman" w:cs="Times New Roman"/>
          <w:sz w:val="22"/>
          <w:szCs w:val="22"/>
        </w:rPr>
        <w:t xml:space="preserve"> evidence </w:t>
      </w:r>
      <w:r w:rsidR="00664B9F" w:rsidRPr="00674AB0">
        <w:rPr>
          <w:rFonts w:ascii="Times New Roman" w:hAnsi="Times New Roman" w:cs="Times New Roman"/>
          <w:sz w:val="22"/>
          <w:szCs w:val="22"/>
        </w:rPr>
        <w:t xml:space="preserve">that EN has the meaning of a weak epistemic comes from Modern Greek counterfactuals where EN can be used instead of  epistemic </w:t>
      </w:r>
      <w:r w:rsidR="00664B9F" w:rsidRPr="00674AB0">
        <w:rPr>
          <w:rFonts w:ascii="Times New Roman" w:hAnsi="Times New Roman" w:cs="Times New Roman"/>
          <w:i/>
          <w:sz w:val="22"/>
          <w:szCs w:val="22"/>
        </w:rPr>
        <w:t>tha</w:t>
      </w:r>
      <w:r w:rsidR="00664B9F" w:rsidRPr="00674AB0">
        <w:rPr>
          <w:rFonts w:ascii="Times New Roman" w:hAnsi="Times New Roman" w:cs="Times New Roman"/>
          <w:sz w:val="22"/>
          <w:szCs w:val="22"/>
        </w:rPr>
        <w:t xml:space="preserve"> (will).</w:t>
      </w:r>
    </w:p>
    <w:p w14:paraId="2164310F" w14:textId="77777777" w:rsidR="00664B9F" w:rsidRPr="00674AB0" w:rsidRDefault="00664B9F">
      <w:pPr>
        <w:rPr>
          <w:rFonts w:ascii="Times New Roman" w:hAnsi="Times New Roman" w:cs="Times New Roman"/>
          <w:sz w:val="22"/>
          <w:szCs w:val="22"/>
        </w:rPr>
      </w:pPr>
    </w:p>
    <w:p w14:paraId="23610744" w14:textId="77777777" w:rsidR="00674AB0" w:rsidRDefault="00674AB0" w:rsidP="00674A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EA69A90" w14:textId="77777777" w:rsidR="00674AB0" w:rsidRDefault="00674AB0" w:rsidP="00674A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8848A69" w14:textId="77777777" w:rsidR="00674AB0" w:rsidRDefault="00674AB0" w:rsidP="00674A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FBEC0F9" w14:textId="77777777" w:rsidR="00674AB0" w:rsidRPr="00674AB0" w:rsidRDefault="00674AB0" w:rsidP="00674A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6F3A652" w14:textId="7A9135FE" w:rsidR="00664B9F" w:rsidRPr="00674AB0" w:rsidRDefault="00664B9F">
      <w:pPr>
        <w:rPr>
          <w:rFonts w:ascii="Times New Roman" w:hAnsi="Times New Roman" w:cs="Times New Roman"/>
          <w:sz w:val="22"/>
          <w:szCs w:val="22"/>
        </w:rPr>
      </w:pPr>
    </w:p>
    <w:p w14:paraId="6B6E6740" w14:textId="019C4C23" w:rsidR="00664B9F" w:rsidRPr="00674AB0" w:rsidRDefault="00664B9F">
      <w:pPr>
        <w:rPr>
          <w:rFonts w:ascii="Times New Roman" w:hAnsi="Times New Roman" w:cs="Times New Roman"/>
          <w:sz w:val="22"/>
          <w:szCs w:val="22"/>
        </w:rPr>
      </w:pPr>
    </w:p>
    <w:sectPr w:rsidR="00664B9F" w:rsidRPr="00674AB0" w:rsidSect="00EA6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4F"/>
    <w:rsid w:val="00037CFF"/>
    <w:rsid w:val="003F14CB"/>
    <w:rsid w:val="00405B9B"/>
    <w:rsid w:val="004D65B6"/>
    <w:rsid w:val="00515D71"/>
    <w:rsid w:val="0057764F"/>
    <w:rsid w:val="00664330"/>
    <w:rsid w:val="00664B9F"/>
    <w:rsid w:val="00674AB0"/>
    <w:rsid w:val="006B624D"/>
    <w:rsid w:val="009E1F51"/>
    <w:rsid w:val="00B26734"/>
    <w:rsid w:val="00CC5CE7"/>
    <w:rsid w:val="00CD207D"/>
    <w:rsid w:val="00D956E1"/>
    <w:rsid w:val="00E231F8"/>
    <w:rsid w:val="00E65C39"/>
    <w:rsid w:val="00E83CB2"/>
    <w:rsid w:val="00E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C3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438</Words>
  <Characters>2502</Characters>
  <Application>Microsoft Macintosh Word</Application>
  <DocSecurity>0</DocSecurity>
  <Lines>20</Lines>
  <Paragraphs>5</Paragraphs>
  <ScaleCrop>false</ScaleCrop>
  <Company>University of York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Maria-Margarita Makri</dc:creator>
  <cp:keywords/>
  <dc:description/>
  <cp:lastModifiedBy>Maria-Margarita Makri</cp:lastModifiedBy>
  <cp:revision>9</cp:revision>
  <dcterms:created xsi:type="dcterms:W3CDTF">2015-11-02T06:48:00Z</dcterms:created>
  <dcterms:modified xsi:type="dcterms:W3CDTF">2015-11-02T11:37:00Z</dcterms:modified>
</cp:coreProperties>
</file>